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14 212 vom 4. April 2015</w:t>
      </w:r>
    </w:p>
    <w:p>
      <w:r>
        <w:t>VS Kantonsgericht, 2015-04-04, FR</w:t>
      </w:r>
    </w:p>
    <w:p>
      <w:r>
        <w:rPr>
          <w:b/>
        </w:rPr>
        <w:t xml:space="preserve">Quelle: </w:t>
      </w:r>
      <w:r>
        <w:t>https://mcp.opencaselaw.ch/entscheid/vs_gerichte_C1 14 212</w:t>
      </w:r>
    </w:p>
    <w:p>
      <w:r>
        <w:t>FR: VS_GERICHTE C1 14 212 du 4 avril 2015</w:t>
      </w:r>
    </w:p>
    <w:p>
      <w:r>
        <w:t>IT: VS_GERICHTE C1 14 212 del 4 aprile 2015</w:t>
      </w:r>
    </w:p>
    <w:p>
      <w:pPr>
        <w:pStyle w:val="Heading2"/>
      </w:pPr>
      <w:r>
        <w:t>Erwägungen</w:t>
      </w:r>
    </w:p>
    <w:p>
      <w:r>
        <w:rPr>
          <w:b/>
        </w:rPr>
        <w:t>E. 3</w:t>
      </w:r>
    </w:p>
    <w:p>
      <w:r>
        <w:t>L’appelant se plaint d’une violation de l’art. 151 CO (cf. appel, ch. 2.3, p. 5). Selon lui, la juridiction inférieure a déduit à tort du fait que les vendeurs ont, du 15 septembre au 11 octobre 2005, encaissé la quasi-totalité du prix de vente (1'560'000 fr. sur 1'650'000 fr.) l’inexistence de la condition suspensive relative à l’obtention de l’autorisation de construire (cf. jugement de première instance, consid. 9.1.1, p. 29). En effet, il n’est pas incompatible avec la notion de condition suspensive que, pour une prestation particulière – en l’occurrence, le paiement du prix –, les parties soient convenues d’une exécution anticipée du contrat (cf. ch. III.6 de l’acte : « Le prix de vente est payable dès la réalisation de l’ensemble des conditions précitées, mais au plus tard le 15 septembre 2005 […] »).</w:t>
      </w:r>
    </w:p>
    <w:p>
      <w:r>
        <w:rPr>
          <w:b/>
        </w:rPr>
        <w:t>E. 3.1.1</w:t>
      </w:r>
    </w:p>
    <w:p>
      <w:r>
        <w:t>En vertu de l’art. 216 al. 1 CO, les ventes d'immeubles ne sont valables que si elles sont faites par acte authentique. Selon la jurisprudence concernant cette disposition, la forme authentique doit porter sur tous les éléments objectivement essentiels du contrat, et aussi sur les points objectivement secondaires mais subjectivement essentiels, pour autant que ces derniers, de par leur nature, constituent un élément du contrat de vente ; il s'agit de tous les éléments qui affectent le rapport entre la prestation et la contre- prestation issues de la vente (ATF 135 III 295 consid.</w:t>
      </w:r>
    </w:p>
    <w:p>
      <w:r>
        <w:rPr>
          <w:b/>
        </w:rPr>
        <w:t>E. 3.1.2</w:t>
      </w:r>
    </w:p>
    <w:p>
      <w:r>
        <w:t>Conformément à l’art. 151 al. 1 CO, le contrat est conditionnel, lorsque l'existence de l'obligation qui en forme l'objet est subordonnée à l'arrivée d'un événement incertain. Quand la conclusion d’un contrat est liée à la condition de l'octroi du permis de construire, il s’agit-là d'une condition suspensive, l'arrivée de l'événement</w:t>
      </w:r>
    </w:p>
    <w:p>
      <w:r>
        <w:t>- 26 - incertain étant l'obtention de l'autorisation de construire (arrêt 4C.281/2005 du 15 décembre 2005 consid. 3.3 in fine, in SJ 2006 I p. 174 ss). Dans un tel cas de figure, les parties n’entendent en règle générale pas être liées plus longtemps que pour la durée habituelle d’une procédure d’autorisation de construire introduite immédiatement, soit pour quelques mois (Honsell, in Honsell [Hrsg.], Obligationen- recht, Kurzkommentar, Basel 2014, n. 9 ad art. 151 CO et la réf. à l’ATF 95 II 523 consid. 2 et 3) ; en effet, dans un contrat d’échange qui requiert par nature une exécution relativement rapide, le Tribunal fédéral refuse en principe d’accorder un délai indéfini pour l’avènement de la condition (ATF 72 II 29 consid. 2 ; Pichonnaz, in Commentaire romand, Code des obligations I, 2e éd. 2012, n. 56 ad art. 151 CO). Pour les immeubles, le titre d’acquisition (généralement, le contrat de vente immobilière) et l’accord réel, en tant qu’actes juridiques, peuvent être soumis à condition (Steinauer, Les droits réels, tome II, 4e éd. 2012, n. 2014, p. 309). La réquisition d’inscription (cf. art. 12 al. 1 aORF [en vigueur jusqu’au 31 décembre 2011]) et l’inscription elle-même ne peuvent en revanche être conditionnelles (Pichonnaz, op. cit., n. 19 ad art. 151 CO ; cf. ég. ATF 115 II 213 consid. 4a). Le transfert conditionnel de la propriété immobilière est en effet exclu par l’art. 217 al. 1 CO, qui dispose que les ventes conditionnelles ne sont inscrites au registre foncier qu’après l’avènement de la condition (Pichonnaz, op. cit., n. 19 ad art. 151 CO). Le contrat affecté de telles conditions est en suspens ; partant, il ne constitue pas (encore) un titre d’acquisition susceptible de fonder une inscription. Dès l’accomplissement de la condition, le contrat de vente produit tous ses effets et l’inscription du transfert au registre foncier peut être requise (Foëx, op. cit., n. 4 ad art. 217 CO ; Giger, op. cit., n. 9 d art. 217 CO). C’est ici le lieu de préciser que l’art. 217 al. 1 CO ne vise pas les conditions légales (« Rechtsbedingungen »), c’est-à-dire les conditions sans l’existence desquelles le conservateur ne peut, d’office, procéder à l’inscription (art. 24a al. 1 aORF : « Si une loi fédérale prévoit que le conservateur doit surseoir à l’inscription jusqu’à ce qu’une autre autorité ait décidé si l’acte sous réquisition est assujetti à autorisation, le conservateur porte la réquisition au journal et notifie au requérant le délai légal pour introduire la procédure d’autorisation » ; cf. Stark, in Honsell [Hrsg.], Obligationenrecht, Kurzkom- mentar, Basel 2014, n. 2 ad art. 217 CO), telle une autorisation au sens de la LFAIE ou de la LDFR (Giger, op. cit., n. 13 ad art. 217 CO) ; rien n’empêche toutefois les parties d’ériger l’un ou l’autre de ces points en véritable condition au sens de l’art. 151 CO (Foëx, op. cit., n. 8 in fine ad art. 217 CO).</w:t>
      </w:r>
    </w:p>
    <w:p>
      <w:r>
        <w:t>- 27 -</w:t>
      </w:r>
    </w:p>
    <w:p>
      <w:r>
        <w:rPr>
          <w:b/>
        </w:rPr>
        <w:t>E. 3.1.3</w:t>
      </w:r>
    </w:p>
    <w:p>
      <w:r>
        <w:t>Selon l'art. 151 al. 2 CO, le contrat soumis à une condition suspensive ne produit d'effets qu'à compter du moment où la condition s'accomplit, si les parties n'ont pas manifesté une intention contraire. L’existence d’une condition suspensive, ainsi que l’impossibilité de sa réalisation, doivent être démontrées par le défendeur (Pichonnaz, op. cit., n. 61 ad art. 151 CO), puisque la condition fait obstacle à la naissance de la créance déduite en justice par le demandeur ou entraîne son extinction (arrêt 4C.212/2004 du 25 octobre 2004 consid. 3.1 ; Gauch/Schluep/Schmid/ Rey, Schweizerisches Obligationenrecht, Allgemeiner Teil, Band II, 8. Aufl. 2003, n. 4184, p. 364). La condition constitue en effet un fait destructeur ou dirimant (arrêt 4C.264/2004 du 20 octobre 2004 consid. 3.4 ; Kummer, Berner Kommentar, n. 263a ad art. 8 CC ; Ehrat, in Basler Kommentar, Obligationenrecht I, 5. Aufl. 2011, n. 14 ad art. 151 CO). Si la condition ne se réalise pas, les prestations déjà effectuées – outre le profit éventuellement réalisé (art. 153 al. 2 CO) – doivent être restituées conformément aux règles sur l'enrichissement illégitime, à savoir l'art. 62 al. 2 CO (« cause qui ne s'est pas réalisée ») (ATF 129 III 264 consid. 3.2.2 ; 119 II 20 consid. 2a ; Ehrat, op. cit., n. 6 ad art. 153 CO ; Engel, Traité des obligations en droit suisse, 2e éd. 1997, p. 589, 856 et 858 ; cf. ég. Foëx, op. cit., n. 5 ad art. 217 CO). Les actes de disposition faits par le créancier par anticipation de l’avènement en exécution de l’expectative de droit faite par le créancier deviennent caducs et les actes de disposition faits par le débiteur présumé en faveur de tiers deviennent définitivement valables (cf. art. 152 al. 3 CO) (Pichonnaz, op. cit., n. 58 ad art. 151 CO). La doctrine admet que lorsqu’une condition n’est prévue que dans l’intérêt d’une seule partie (par exemple la vente d’un immeuble à condition que l’autorisation de construire soit octroyée), celle-ci puisse unilatéralement renoncer à cette condition lorsqu’il n’en résulte pas pour l’autre partie une insécurité juridique inacceptable (arrêt 4C.314/2005 du 17 janvier 2006 consid. 1.1 ; Ehrat, op. cit., n. 8 ad Vorbemerkungen zu Art. 151- 157 CO ; Guhl/Merz/Koller/Druey, Das Schweizerische Obligationenrecht, 9. Aufl. 2000, § 9 note 17, renvoyant à l’ATF 95 II 523 consid. 5 ; cf. ég. Pichonnaz, op. cit., n. 47 ad art. 151 CO).</w:t>
      </w:r>
    </w:p>
    <w:p>
      <w:r>
        <w:rPr>
          <w:b/>
        </w:rPr>
        <w:t>E. 3.2</w:t>
      </w:r>
    </w:p>
    <w:p>
      <w:r>
        <w:t>En l’espèce, l’acte authentique du 11 juin 2005 contient, sous ch. III.2, plusieurs conditions suspensives au sens des art. 151 et 217 CO, ce qui n’est pas disputé. Il est également vrai que, conformément à l’art. 151 al. 2 CO, les parties peuvent convenir que le contrat soumis à des conditions suspensives déploie des effets avant même que tout ou partie de celles-ci soient réunies. Encore faudrait-il pour que le grief de l’appelant trouve grâce aux yeux de la Cour de céans que l’intéressé – qui n’est certes</w:t>
      </w:r>
    </w:p>
    <w:p>
      <w:r>
        <w:t>- 28 - pas directement partie à l’acte mais se prévaut des clauses contenues dans celui-ci pour justifier son inexécution –, ait, en sa qualité de défendeur, établi l’existence de la condition suspensive liée à l’obtention de l’autorisation de construire, d’une part, et l’accord des parties quant au versement, avant l’avènement de cette condition, de la totalité du prix de vente, d’autre part. Or, s’agissant du premier aspect, il a été circonscrit en fait (cf. supra, consid. 2.6.4) que les parties, pressées de conclure la vente, n’avaient pas voulu subordonner la venue à chef de celle-ci à l’obtention préalable d’une autorisation de construire, étant ici rappelé que le dossier de mise à l’enquête publique n’a été déposé, dans sa première mouture, qu’en novembre 2005, soit 5 mois après la signature de l’acte de vente, et que même une décision favorable n’aurait pas pu être prise par la CCC avant plusieurs mois. L’appelant a du reste correctement compris la volonté réelle et commune des parties, puisqu’une fois reçue l’autorisation LDFR – celle-ci ayant été formulée dans le contrat sous la forme d’une condition suspensive –, il a indiqué être en mesure de déposer au registre foncier les actes en vue de leur inscription (cf. supra, consid. 2.6.4). Quant au second point, à savoir le paiement anticipé de la totalité du prix de vente – dont la majeure partie a été reversée par le notaire aux vendeurs en plusieurs acomptes durant les mois de septembre et octobre 2005, ainsi qu’un montant indéfini au courtier –, on peine à comprendre l’intérêt qu’aurait eu l’acquéresse à consentir à un tel geste ; bien plus, une exécution anticipée présentait des risques certains pour elle, puisqu’en cas de non-avènement de la condition, l’acquéresse aurait dû agir en restitution tant envers les vendeurs qu’envers le courtier, non partie à l’acte, alors que de surcroît la rémunération de ce dernier n’est due selon la loi, lorsque le contrat principal a été conclu sous condition suspensive, qu'après l'accomplissement de celle- ci (cf. art. 413 al. 2 CO). A titre superfétatoire, même à supposer que l’on ait retenu que la formulation de l’acte de vente du 11 juin 2005 laissait apparaître l’existence d’une condition suspensive liée à l’obtention d’une autorisation de construire, il ne pouvait échapper à l’appelant en se voyant relancer par l’assistante de l’époux de l’acquéresse en novembre 2005 pour savoir « s’il y a[vait] du nouveau au sujet de l’enregistrement de l’acte de propriété de Mme Y_________ » (cf. supra, consid. 2.2.7 in fine) que l’intéressée avait renoncé à cette clause, prévue dans son seul intérêt, et désirait ardemment être inscrite comme propriétaire ; par ailleurs, si l’officier public avait nourri un doute à ce propos, il aurait dû l’écarter en demandant des explications complémentaires à l’acquéresse, ce qu’il n’a pas fait.</w:t>
      </w:r>
    </w:p>
    <w:p>
      <w:r>
        <w:t>- 29 - Pour l’ensemble de ces motifs, le moyen de l’appelant pris d’une violation de l’art. 151 CO est infondé.</w:t>
      </w:r>
    </w:p>
    <w:p>
      <w:r>
        <w:rPr>
          <w:b/>
        </w:rPr>
        <w:t>E. 4</w:t>
      </w:r>
    </w:p>
    <w:p>
      <w:r>
        <w:t>Du point de vue de l’appelant et défendeur, les conditions de sa responsabilité en tant que notaire ne sont pas données.</w:t>
      </w:r>
    </w:p>
    <w:p>
      <w:r>
        <w:rPr>
          <w:b/>
        </w:rPr>
        <w:t>E. 4.1.1</w:t>
      </w:r>
    </w:p>
    <w:p>
      <w:r>
        <w:t>L'activité ministérielle du notaire n'est pas une industrie au sens de l'art. 61 al. 2 CO, mais une tâche officielle qui relève du droit public. Lorsque le notaire accomplit une telle activité, ses relations avec ses clients échappent donc au champ d'application des dispositions contractuelles sur le mandat ; la responsabilité du notaire pour la mauvaise exécution de sa tâche officielle ne relève ainsi pas du droit des contrats (ATF 127 III 248 consid. 1b ; 126 III 370 consid. 7a). En principe, la responsabilité des fonctionnaires et employés publics est régie par les art. 41 ss CO, mais les cantons sont libres de la soumettre au droit public cantonal en vertu de l'art. 61 al. 1 CO (ATF 127 III 248 consid. 1b ; arrêt 4A_34/2014 du 19 mai 2014 consid. 4.1). Le canton du Valais a fait usage de la faculté offerte par l'art. 61 al. 1 CO en adoptant la loi sur le notariat du 15 mai 1942 (aLN), en vigueur jusqu’au 31 décembre 2005 et applicable à la présente cause (voir ég. les dispositions transitoires figurant aux art. 111 ss de la loi sur le notariat du 15 décembre 2004, entrée en vigueur le 1er janvier 2006). En vertu de l'art. 19 aLN, le notaire – qui est un officier public exerçant une activité indépendante (art. 1 al. 2 aLN) – est civilement responsable des fautes qu'il commet dans l'exercice de sa profession. Selon la jurisprudence, il s'ensuit que la responsabilité du notaire valaisan en tant qu'officier public est exclusivement régie par le droit public cantonal (ATF 96 II 45 ; arrêt 4A_504/2010 du 7 décembre 2010 consid. 1.1.2, in RNRF 2012, p. 404 ss ; RVJ 1996 p. 181 consid. 5a). Selon la jurisprudence valaisanne, il s'agit de la responsabilité selon les art. 41 à 60 CO, qui s'appliquent à titre de droit cantonal supplétif, et non celle des art. 97 ss CO. Les activités ministérielles du notaire sont donc régies par les art. 41 ss CO appliqués à titre de droit cantonal supplétif. Savoir quels actes font partie de ces activités dépend du droit cantonal (arrêt 4A_34/2014 précité consid. 4.4 ; RVJ 1996 p. 182 consid. 5a ; 1994 p. 228 consid. 1a).</w:t>
      </w:r>
    </w:p>
    <w:p>
      <w:r>
        <w:rPr>
          <w:b/>
        </w:rPr>
        <w:t>E. 4.1.2</w:t>
      </w:r>
    </w:p>
    <w:p>
      <w:r>
        <w:t>D’une manière générale, la responsabilité du notaire est engagée si celui-ci, par un acte ou une omission imputable à faute relevant de l’activité ministérielle, a occasionné, par cet acte (ou omission) illicite, un dommage, et qu’il existe un lien de causalité entre l’acte (ou omission) illicite et le dommage (cf. Mooser, Le droit notarial</w:t>
      </w:r>
    </w:p>
    <w:p>
      <w:r>
        <w:t>- 30 - en Suisse, 2e éd. 2014, n. 307, p. 203 ; cf. ég. Brückner, op. cit., n. 607 ss, p. 187 ; Carlen, Notariatsrecht des Schweiz, Zürich 1976, p. 135 ss).</w:t>
      </w:r>
    </w:p>
    <w:p>
      <w:r>
        <w:rPr>
          <w:b/>
        </w:rPr>
        <w:t>E. 4.2</w:t>
      </w:r>
    </w:p>
    <w:p>
      <w:r>
        <w:t>Dans le cas particulier, l’appelant a, en sa qualité de notaire, omis de déposer auprès de l’Office du registre foncier de C_________ les actes authentiques des 11 juin et 12 août 2005 et de requérir l’inscription du transfert de propriété. Comme on le verra plus en détail ci-après, l’appelant a, par cette omission, violé une des obligations lui incombant dans le cadre de son activité ministérielle, de sorte que sa responsabilité en tant que notaire est susceptible d’être engagée.</w:t>
      </w:r>
    </w:p>
    <w:p>
      <w:r>
        <w:rPr>
          <w:b/>
        </w:rPr>
        <w:t>E. 5</w:t>
      </w:r>
    </w:p>
    <w:p>
      <w:r>
        <w:t>L’appelant réfute avoir commis un acte illicite ; il reproche par ailleurs à la juridiction inférieure d’avoir, alors que ces éléments n’avaient pas été allégués, retenu qu’il avait inséré une « clause ambigüe » dans l’acte (cf. jugement entrepris, consid. 9.1.1, p. 27) et n’aurait pas expliqué aux parties que la finalisation de la vente dépendait de l’obtention d’une autorisation de construire (cf. appel, ch. 2.1, p. 2 s.).</w:t>
      </w:r>
    </w:p>
    <w:p>
      <w:r>
        <w:rPr>
          <w:b/>
        </w:rPr>
        <w:t>E. 5.1.1</w:t>
      </w:r>
    </w:p>
    <w:p>
      <w:r>
        <w:t>Le notaire doit exprimer dans l’acte la volonté (concordante) des parties, non pas sa propre volonté (Brückner, op. cit., n. 1834, p. 524). A cette fin, il doit déterminer la volonté des parties, ce que celles-ci désirent, le but précis qu’elles poursuivent (Ritter/Gehrer, Beurkundungsrecht für Praktiker, Basel 2007, p. 155 ; D’Aumeries, La responsabilité civile du notaire et son assurance, Lausanne 1980, p. 80 s.). Compte tenu des buts poursuivis par la forme authentique – qui sont non seulement d’éviter aux parties des engagements irréfléchis en s'assurant qu'elles comprennent la portée de leurs engagements et expriment leur volonté de façon claire et complète (ATF 118 II 32 consid. 3d), mais également de garantir la sécurité des transactions qui doivent figurer dans un registre (arrêt 4C.225/2001 du 16 novembre 2001 consid. 2b) –, le notaire doit exprimer cette volonté clairement, avec précision et sans équivoque (Mooser, op. cit., n. 208, p. 126 ; Carlen, op. cit., p. 121 et 141). Dans la rédaction, le notaire doit s’efforcer d’éviter toute ambiguïté, toute terminologie incompréhensible, et de donner à l’acte « la limpidité et la clarté les plus pures », en pensant que, si celui-ci est clair pour les parties et pour lui aujourd’hui, il produira ses effets dans un avenir plus ou moins éloigné, et ceux qui le liront devront être à même de le comprendre tel qu’il a été voulu (D’Aumeries, op. cit., p. 82 et la réf. sous note de pied 30). Un véritable devoir d’information juridique incombe au notaire en présence de clauses inhabituelles ; il doit alors exposer les risques qui seraient propres à celles-ci (Piotet, Application en droit immobilier, in Schmid [éd.], Die Belehrungs- und Beratungspflicht des Notars / L’obligation d’informer du notaire, Zürich/Basel/Genf 2006, p. 163 ss,</w:t>
      </w:r>
    </w:p>
    <w:p>
      <w:r>
        <w:t>- 31 - spéc. p. 180 ; cf. ég. Brückner, op. cit., n. 1769 22, p. 506 ss). La violation de l’obligation de clarté peut engager la responsabilité civile ou disciplinaire du notaire ; celui-ci ne saurait se retrancher, pour justifier l’existence d’un acte peu clair ou contenant des expressions équivoques, sur le fait que les parties ont expressément voulu cette formulation (Mooser, op. cit., n. 208b, p. 127 et n. 209, p. 128 ; cf. ég. Müller, Die Haftung des Urkundsperson, Zürich 2000, p. 129).</w:t>
      </w:r>
    </w:p>
    <w:p>
      <w:r>
        <w:rPr>
          <w:b/>
        </w:rPr>
        <w:t>E. 5.1.2</w:t>
      </w:r>
    </w:p>
    <w:p>
      <w:r>
        <w:t>L’activité du notaire serait imparfaite s’il ne collaborait pas lui-même à l’exécution des actes qu’il instrumente. Les législateurs cantonaux, fondés sur l’art. 963 al. 3 CC, ont prévu l’obligation pour le notaire de faire les réquisitions que comportent les actes qu’il reçoit (Mooser, op. cit., n. 258, p. 174, et n. 260, p. 175 ; cf. ég. Müller, op. cit., p. 227). Ainsi, en Valais, l’art. 38 al. 1 aLN disposait-il expressément que le notaire était tenu de requérir d’office les opérations, les inscriptions, approbations et homologations que comportent ou nécessitent les actes reçus par lui pour acquérir leur pleine efficacité juridique. Le notaire est libéré de l’obligation de requérir lorsque les parties conviennent de ne pas procéder à un dépôt, ce qu’elles peuvent faire aussi longtemps que la réquisition n’a pas eu lieu (Brückner, op. cit., n. 1223, p. 352 ; Honsell/Schmid, in Basler Kommentar, Zivilgesetzbuch II, 4. Aufl. 2011, n. 39 ad art. 963 CC). Ce sera par exemple le cas lorsque, dans le domaine de la vente, la réquisition d’inscription du transfert de propriété ne doit avoir lieu que lorsque le prix aura été intégralement payé ; le notaire doit cependant, en vertu de son obligation de renseigner, informer les parties des risques qu’elles encourent de ce chef (Mooser, op. cit., n. 261, p. 176 ; cf. ég. Marti, Bernisches Notariatsrecht, Bern 1983, n. 14 ad art. 16 NG). L’obligation de requérir n’a de sens que si la réquisition est effectuée dans les délais les plus brefs, l’obligation de diligence (« Erledigungspflicht » ; cf. Brückner, op. cit., n. 919 ss, p. 279) s’appliquant également dans ce domaine. L’art. 38 al. 2 aLN prévoyait ainsi que les réquisitions devaient être faites dans les délais prévus par les lois ou, à défaut, dans un délai de 60 jours. Il s’agit là d’un délai d’ordre ; le fait de ne pas le respecter ne constitue en principe pas un obstacle aux inscriptions que celui-ci comporte, mais peut engager la responsabilité civile ou disciplinaire du notaire (Mooser, op. cit., n. 264, p. 177 2. ; Carlen, op. cit., p. 131 ; Müller, op. cit., p. 228).</w:t>
      </w:r>
    </w:p>
    <w:p>
      <w:r>
        <w:rPr>
          <w:b/>
        </w:rPr>
        <w:t>E. 5.1.3</w:t>
      </w:r>
    </w:p>
    <w:p>
      <w:r>
        <w:t>La faute se rapporte à l’élément subjectif de la violation d’une norme ; elle se définit comme un manquement de la volonté à un devoir imposé par l’ordre juridique. La faute retenue peut être intentionnelle ou résulter de la négligence (Mooser, op. cit., n. 309, p. 204 ; Brückner, op. cit., n. 614-615, p. 190 s. ; Carlen, op. cit., p. 136). Ce manque de diligence est apprécié de façon objective, par rapport au comportement</w:t>
      </w:r>
    </w:p>
    <w:p>
      <w:r>
        <w:t>- 32 - qu’aurait eu une personne raisonnable et réfléchie dans cette même situation. Compte tenu notamment du monopole dont profite le notaire, ainsi que de sa fonction officielle, les exigences posées à son égard sont élevées (Mooser, op. cit., n. 309, p. 204 ; Brückner, op. cit., n. 613, p. 190 ; cf. ég. RVJ 1984 p. 131 consid. 6c).</w:t>
      </w:r>
    </w:p>
    <w:p>
      <w:r>
        <w:rPr>
          <w:b/>
        </w:rPr>
        <w:t>E. 5.2</w:t>
      </w:r>
    </w:p>
    <w:p>
      <w:r>
        <w:t>En l’espèce, il faut certes convenir avec l’appelant que la demanderesse n’a pas allégué dans ses écritures comme le prescrivaient les règles de procédure civile alors applicables (cf. infra, consid. 7.1.2) que le notaire avait inséré, sous ch. III.2 de l’acte de vente, une « clause ambigüe ». Ce qualificatif correspond toutefois à la propre appréciation de la juridiction inférieure concernant la formulation de la clause litigieuse (« l’obtention de l’accord des autorités compétentes en matière de construction et de monuments historiques ») ; elle se devait par ailleurs de l’interpréter, puisque l’appelant et défendeur s’est prévalu de cette clause qui, selon lui, justifiait l’absence de dépôt des actes authentiques auprès du registre foncier aussi longtemps que l’autorisation de construire n’était pas obtenue (cf. all. 58 ss [contestés]). La critique de l’appelant est toutefois sans portée pour l’issue de la cause. Ce n’est en effet pas le fait d’avoir formulé de manière potentiellement équivoque la clause en question – que les parties à l’acte n’ont pas interprétée comme valant condition suspensive, puisqu’elles ont de leur côté exécuté leurs obligations respectives sans y prêter plus d’attention –, qui est reproché au notaire, mais bien le fait pour celui-ci de ne pas avoir déposé les actes au registre foncier, sitôt reçue la décision LDFR en septembre 2005, et alors qu’il savait que toutes les conditions pour ce faire étaient réunies à cette époque (cf. supra, consid. 2.6.4). Le courriel adressé par l’appelant le 20 août 2008 à D_________, en vertu duquel il reconnaissait que « le dossier avait été archivé par erreur comme inscrit » et qu’il était « seul responsable de cette non- inscription » (cf. supra, consid. 2.4.1) avait les accents de la sincérité, contrairement à la thèse avancée ultérieurement pour les besoins de la cause selon laquelle l’une des conditions suspensives n’était toujours pas réalisée. Aussi, l’autorité de première instance n’a-t-elle pas erré en retenant au final qu’en ayant omis pendant plusieurs années de déposer les actes authentiques des 11 juin et 12 août 2005 auprès de l’Office du registre foncier de C_________, l’appelant a, en sa qualité de notaire, failli à son obligation de diligence, comprenant celle de faire inscrire les actes dans les meilleurs délais, mais au plus tard dans les 60 jours (cf. art. 38 al. 2 aLN) suivant la réception de l’autorisation LDFR, le 7 septembre 2005, et que son omission est imputable à une négligence fautive.</w:t>
      </w:r>
    </w:p>
    <w:p>
      <w:r>
        <w:t>- 33 -</w:t>
      </w:r>
    </w:p>
    <w:p>
      <w:r>
        <w:rPr>
          <w:b/>
        </w:rPr>
        <w:t>E. 6</w:t>
      </w:r>
    </w:p>
    <w:p>
      <w:r>
        <w:t>Dans la seconde branche de son moyen relatif à l’absence d’acte illicite, l’appelant invoque l’existence d’un cas de substitution licite ou d’une situation de causalité dépassée (cf. appel, ch. 3, p. 6). Il soutient que, dès lors que le conservateur du registre foncier aurait de toute façon rejeté une réquisition présentée en septembre 2005 parce que la condition suspensive liée à l’obtention de l’autorisation de construire n’était pas remplie et empêchait l’inscription du transfert de propriété, le prétendu dommage subi par l’appelée et demanderesse ne pouvait être le fait du notaire.</w:t>
      </w:r>
    </w:p>
    <w:p>
      <w:r>
        <w:rPr>
          <w:b/>
        </w:rPr>
        <w:t>E. 6.1.1</w:t>
      </w:r>
    </w:p>
    <w:p>
      <w:r>
        <w:t>Le dommage doit se trouver dans un lien de causalité – naturelle et adéquate – avec le fait (action ou omission) du notaire (Mooser, op. cit., n. 317, p. 208 ; Brückner, op. cit., n. 612, p. 189 ; Carlen, op. cit., p. 136). Un fait est la cause naturelle d'un résultat s'il en constitue l'une des conditions sine qua non (ATF 133 III 462 consid. 4.4.2 ; 128 III 174 consid. 2b ; 122 IV 17 consid. 2c/aa). Autrement dit, la causalité naturelle est toujours donnée lorsque l'on ne peut faire abstraction de l'événement en question sans que le résultat ne tombe aussi. Cela signifie que si le fait a est cause du fait b et b cause du fait c, a est cause de c, étant entendu que b est aussi cause de c. Les notions de causalité dépassée et dépassante se réfèrent à un arrêt de la causalité naturelle, lorsqu'un dommage aurait pu être causé par un certain fait, mais résulte en réalité d'autres circonstances (arrêts 5C.125/2003 du 31 octobre 2003 consid. 3.3, in SJ 2004 I p. 407 ss ; 8C_630/2007 du 10 mars 2008 consid. 5.2). En d'autres termes, elle vise le cas où un premier fait est susceptible d'entraîner un certain dommage, mais où ce dommage est causé par un second fait avant que le premier ne le fasse ; le premier est dans ce sens « dépassé » par le second (ATF 135 V 269 consid. 5.3 ; Oftinger/Stark, Schweizerisches Haftpflichtrecht, Allgemeiner Teil, Band I, 5. Aufl. 1995, § 6, n. 10 ss, p. 250 ss ; cf. ég. Aubry Girardin, Les causes du dommage, in Chappuis/Winiger [éd.], Les causes du dommage, Genève 2007, p. 75 s. ; Werro, La reponsabilité civile, Berne 2005, n. 181 ss, p. 47 ; en matière de notariat, cf. Brückner, op. cit., n. 612, p. 189 et Müller, op. cit., p. 117, au sujet du comportement de substitution licite [« rechtsmässiger Alternativverhalten » ; cf. ég. ATF 131 III 115 consid. 3.1]).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générale de la vie, à entraîner un résultat du</w:t>
      </w:r>
    </w:p>
    <w:p>
      <w:r>
        <w:t>- 34 - genre de celui qui s'est produit (ATF 123 III 110 consid. 3a ; plus récemment, cf. arrêt 5A_198/2014 du 19 novembre 2014 consid. 10.4.2).</w:t>
      </w:r>
    </w:p>
    <w:p>
      <w:r>
        <w:rPr>
          <w:b/>
        </w:rPr>
        <w:t>E. 6.1.2</w:t>
      </w:r>
    </w:p>
    <w:p>
      <w:r>
        <w:t>Selon la jurisprudence, il y a lieu de distinguer entre la causalité naturelle et la causalité adéquate même si la violation d'une obligation est imputable à une omission. Toutefois, pour retenir une causalité naturelle en cas d'omission, il faut admettre par hypothèse que le dommage ne serait pas survenu si l'intéressé avait agi conformément à la loi ou au contrat. Un lien de causalité naturelle ne sera donc pas nécessairement prouvé avec une exactitude scientifique.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(arrêt 4C.45/2001 du 31 août 2001 consid. 4b, in SJ 2002 I p. 274 ss ; ATF 115 II 440 consid. 5a). Ainsi, lorsqu'il s'agit de juger de l'existence d'un lien de causalité entre une ou des omissions et un dommage, il convient de s'interroger sur le cours hypothétique des événements (ATF 129 III 129 consid. 8 ; arrêt 4C.449/2004 du 9 mars 2005 consid. 4.1 ; cf. ég. Müller, op. cit., p. 124).</w:t>
      </w:r>
    </w:p>
    <w:p>
      <w:r>
        <w:rPr>
          <w:b/>
        </w:rPr>
        <w:t>E. 6.2</w:t>
      </w:r>
    </w:p>
    <w:p>
      <w:r>
        <w:t>En l’occurrence, le moyen soulevé par l’appelant n’aurait eu d’importance, sous l’angle de la causalité, que si le dépôt des actes au registre foncier avait été véritablement conditionné à l’obtention préalable du permis de construire. Or, il a été retenu en fait que tel n’était pas le cas, ce dont avait conscience à l’époque l’intéressé lui-même, qui a annoncé à l’époux de l’acquéresse, à réception de la décision LDFR le</w:t>
      </w:r>
    </w:p>
    <w:p>
      <w:r>
        <w:rPr>
          <w:b/>
        </w:rPr>
        <w:t>E. 7</w:t>
      </w:r>
    </w:p>
    <w:p>
      <w:r>
        <w:t>novembre 2014 consid. 4.1). Ce n’est en revanche pas à l'expert, mais bien au juge, qu'il incombe de résoudre les questions juridiques qui se posent dans le complexe de faits faisant l'objet de l'expertise (ATF 118 Ia 144 consid. 1c ; arrêt 4A_478/2008 du 16 décembre 2008 consid. 4.1). Que ce soit en vertu de l’ancien droit de procédure cantonal (cf. art. 172 CPC/VS : « Si l’administration d’une preuve nécessite des connaissances particulières, une expertise est aménagée ») ou de l’actuel CPC suisse,</w:t>
      </w:r>
    </w:p>
    <w:p>
      <w:r>
        <w:t>- 38 - le juge ne doit ordonner une expertise que s’il ne dispose pas lui-même des connaissances spéciales suffisantes (Schmid, in Oberhammer et al. [Hrsg.], Schwei- zerische Zivilprozessordnung, Kurzkommentar, 2. Aufl. 2013, n. 24 ad art. 183 CPC et la réf. à l’arrêt 4A_249/2007 du 16 novembre 2007 consid. 2.1, in RSCP 2008, p. 259 ss ; cf. ég. arrêt 5A_478/2013 du 6 novembre 2013 consid. 4.1). Par « connaissances particulières » (art. 172 CPC/VS) ou « spéciales » (art. 183 al. 3 CPC), on entend singulièrement des connaissances qui vont au-delà de celles tirées de l’expérience générale de la vie, notamment celles qui sont typiques d’une branche et nécessitent des connaissances scientifiques (cf. arrêt 5A_478/2013 précité consid. 4.1 ; Brunner, Die Verwertung von Fachwissen im handelsgerichtlichen Prozess, in RSJ 1992, p. 23).</w:t>
      </w:r>
    </w:p>
    <w:p>
      <w:r>
        <w:rPr>
          <w:b/>
        </w:rPr>
        <w:t>E. 7.1.1</w:t>
      </w:r>
    </w:p>
    <w:p>
      <w:r>
        <w:t>Dans la responsabilité du notaire, la notion juridique du dommage correspond à celle consacrée par le droit fédéral en matière de responsabilité civile (arrêt 4A_620/2011 du 3 avril 2012 consid. 3.1 ; D’Aumeries, op. cit., p. 144) ; il peut notamment être lié à une violation de l’obligation de diligence (« Säumnisschaden ») (Mooser, op. cit., n. 316 et note de pied 1133 in fine, p. 207). Consistant dans la diminution involontaire de la fortune nette, le dommage correspond à la différence entre le montant actuel du patrimoine du lésé et le montant que ce même patrimoine aurait si l'événement dommageable ne s'était pas produit. Il peut survenir sous la forme d'une diminution de l'actif, d'une augmentation du passif, d'une non-augmentation de l'actif ou d'une non-diminution du passif (ATF 133 III 462 consid. 4.4.2 ; 132 III 359 consid. 4). Le paiement des impôts n'est pas une libéralité en faveur de la collectivité publique. Nul n'est censé payer volontairement ses impôts, même s'il se soumet à l'obligation fiscale. L'impôt entraîne donc une diminution involontaire du patrimoine (arrêt 4A_506/2011 du 24 novembre 2011 consid. 4). A titre illustratif, lorsqu'un contribuable se fait conseiller, assister ou représenter par un mandataire</w:t>
      </w:r>
    </w:p>
    <w:p>
      <w:r>
        <w:t>- 36 - dans une procédure fiscale, celui-ci doit sauvegarder les intérêts du mandant et s'efforcer de parvenir à la charge fiscale la plus faible possible (arrêt 4C.40/2006 du 28 juin 2006 consid. 2.2, in RTiD 2006 II p. 740 ss). Tout impôt n'est pas un dommage dont le mandataire fiscal doive réparation. Le mandataire doit seulement réparer, le cas échéant, le dommage consistant dans la différence entre les impôts que le mandant a effectivement payés et ceux, supposés moins importants, qu'il aurait payés en cas d'exécution correcte du mandat (arrêt 4A_506/2011 précité consid. 4). Conformément à l’art. 42 al. 1 CO, la preuve du dommage incombe à la partie qui prétend à réparation.</w:t>
      </w:r>
    </w:p>
    <w:p>
      <w:r>
        <w:rPr>
          <w:b/>
        </w:rPr>
        <w:t>E. 7.1.2</w:t>
      </w:r>
    </w:p>
    <w:p>
      <w:r>
        <w:t>Dans les causes introduites avant le 1er janvier 2011 (cf. art. 404 al. 1 CPC a contrario) – comme en l’espèce –, le procès civil demeure régi en Valais par la maxime des débats (art. 63 al. 1 CPC/VS). Selon l'art. 66 al. 1 CPC/VS, les parties doivent exposer au juge l'état de fait concernant le litige et, dans les causes où la loi n'impose pas la maxime d'office, seuls les faits allégués sont pris en compte. Les parties doivent alléguer les faits en principe, dans les écritures, mais au plus tard, jusqu'au débat préliminaire (art. 145 al. 1 CPC/VS ; RVJ 2003 p. 151 consid. 3a et les réf.). Alléguer, c’est introduire un fait dans le procès. Le moyen de défense de la partie adverse quant à l’exactitude de ce fait, c’est la contestation. Motiver consiste à donner à l’allégation un contenu suffisamment précis et détaillé (RVJ 2007 p. 231 consid. 4a ; Ducrot, Le droit judiciaire privé valaisan, Martigny 2000, p. 296). Concernant plus particulièrement la charge de la contestation, le Tribunal fédéral a posé que l'autre partie doit si possible motiver sa contestation, compte tenu de l'objet et de l'état de la procédure. Cette motivation n'est cependant pas soumise aux mêmes exigences que pour l'allégation des faits qui permettront de statuer sur la prétention déduite en justice. Elle doit seulement mettre la partie qui a allégué les faits en mesure d'administrer la preuve dont le fardeau lui incombe (ATF 115 II 1 consid. 4). La doctrine va dans le même sens. Chaque partie peut se borner à contester les faits allégués par l'autre partie, de manière toutefois assez précise pour permettre à celle-ci de savoir quels allégués sont contestés en particulier et, partant, d'administrer la preuve dont le fardeau lui incombe (arrêt 4P.255/2004 du 17 mars 2005 consid. 4.2, in SJ 2006 I p. 61 ss ; Hohl, Procédure civile, tome I, Berne 2001, n. 802, p. 155 s. ; Vogel/Spühler, Grundriss des Zivilprozessrechts, 7. Aufl. 2001, n. 55-56, p. 264 s.). Exceptionnellement, la partie qui n'est pas chargée du fardeau de la preuve ne peut pas se contenter de contester les faits allégués par la partie adverse, mais elle doit, en vertu des règles de la bonne foi (cf. art. 2 CC) – qui prévaut également en procédure civile (cf. art. 62 al. 1 CPC/VS ; ATF 132 I 249 consid. 5 ; arrêt 4A_485/2012 du 8 janvier 2013 consid. 6) –, collaborer</w:t>
      </w:r>
    </w:p>
    <w:p>
      <w:r>
        <w:t>- 37 - à l'administration des preuves (Hohl, op. cit., n. 804, p. 156). Ainsi en est-il lorsque celui qui prétend à un droit se trouve dans un état de nécessité quant à la preuve et que son adverse partie est mieux à même de la rapporter (ATF 115 II 1 consid. 4 ; arrêt 4P.196/2005 du 10 février 2006 consid. 5.2). Les seuls tempéraments apportés à la règle du fardeau de l'allégation des faits sont ceux prévus à l'art. 66 al. 4 CPC/VS qui prévoit que le juge peut tenir compte des faits notoires, non particuliers à la cause, des faits patents, implicitement admis par les parties et non allégués par inadvertance, ainsi que des faits révélés par une expertise écrite. De surcroît, s'il manque aux exposés, mémoires et écritures la clarté et la précision exigée ou s'ils sont incomplets, le juge doit donner aux parties l'occasion de corriger ces vices et peut y suppléer lui-même au moyen de questions appropriées (art. 66 al. 3 CPC/VS ; cf. ég. arrêt 5D_42/2007 du 18 février 2008 consid. 2.1 ; sur la notion de faits patents, cf. arrêt 4P.29/2005 du 11 août 2007 consid. 4.2 et les réf.). Le thème de l’allégation se situe à la croisée du droit matériel et du droit de procédure (arrêts 4P.255/2004 précité consid. 4.2 ; 4C.50/2003 du 10 juillet 2003 consid. 2.3). Le droit matériel est violé lorsque le tribunal rejette une action à tort parce que celle-ci n'aurait pas été suffisamment motivée en fait (ATF 105 II 143 consid. 6a/aa ; arrêt 5P.322/1996 du 12 décembre 1996 consid. 2b, in SJ 1997 p. 240 ss) ; il est aussi violé lorsque le tribunal admet à tort une demande dont la motivation en fait est insuffisante au regard de la norme de droit matériel invoquée (arrêts 4C.39/2005 du 8 juin 2005 consid. 2.1 ; 4P.263/2003 du 1er avril 2004 consid. 3.2.1 ; cf. ég. RVJ 2007 p. 232 consid. 4a in fine).</w:t>
      </w:r>
    </w:p>
    <w:p>
      <w:r>
        <w:rPr>
          <w:b/>
        </w:rPr>
        <w:t>E. 7.1.3</w:t>
      </w:r>
    </w:p>
    <w:p>
      <w:r>
        <w:t>D’une manière générale,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(ATF 118 Ia 144 consid. 1c ; plus récemment, cf. arrêt 5A_802/2014 du</w:t>
      </w:r>
    </w:p>
    <w:p>
      <w:r>
        <w:rPr>
          <w:b/>
        </w:rPr>
        <w:t>E. 7.1.4</w:t>
      </w:r>
    </w:p>
    <w:p>
      <w:r>
        <w:t>L'impôt sur les gains immobiliers est régi par les art. 44 ss de la loi fiscale valaisanne du 10 mars 1976 (LF ; RS/VS 642.1). Aux termes de l'art. 44 al. 1 LF, l'impôt a pour objet les gains réalisés lors de l'aliénation de tout ou partie d'un immeuble faisant partie de la fortune privée du contribuable ou d'un immeuble agricole ou sylvicole. Selon l'art. 45 al. 1 LF, toute aliénation qui opère le transfert de la propriété d'un immeuble donne lieu à imposition. Cette disposition concrétise, en droit cantonal, l’art. 12 al. 1 LHID, qui considère comme aliénation toutes les formes de transfert de propriété prévues en droit civil et public (Zwahlen, in Kommentar zum Schweizerischen Steuerrecht, StHG, 2. Aufl. 2002, n. 31 ad art. 12 LHDI). L'impôt est dû par l'aliénateur (art. 47 al. 1 LF). Le bénéfice imposable est constitué par la différence entre le produit de l'aliénation (1°) et les dépenses d'investissement (2°) (art. 48 al. 1 LF). S’agissant du premier aspect, l’art. 49 al. 1 LF précise que le produit de l'aliénation comprend toutes les prestations mises à charge de l'acquéreur. Quant aux dépenses d’investissement, elles englobent, d’une part, le prix d'acquisition – qui correspond au prix d'achat, y compris toutes les prestations mises à charge de l'acquéreur et l'impôt sur les successions (cf. art. 50 al. 1 LF) –, et, d’autre part, les impenses, lesquelles ne visent que les impenses de plus-value, à savoir les dépenses qui ont servi à acquérir, à créer ou à augmenter la valeur substantielle de l'immeuble (cf. arrêts 2C_44/2008 du 28 juillet 2008 consid. 2.1, in RDAF 2008 II p. 497 ss ; 2C_131/2009 du 7 septembre 2009 consid. 3.1). L’art. 51 al. 1 LF précise à cet égard que constituent des impenses les frais de construction, de transformation et d'autres améliorations durables qui augmentent la valeur de l'immeuble (let. a), les contributions de plus-values, notamment, les contributions foncières de construction ou de correction de routes, d'améliorations foncières et de correction des eaux (let. b) et les frais qui sont liés à l'acquisition ou à l'aliénation de l'immeuble, y compris les commissions et les frais de courtage (let. c).</w:t>
      </w:r>
    </w:p>
    <w:p>
      <w:r>
        <w:t>- 39 - En l’absence de dispositions particulières de la loi fiscale valaisanne sur le fardeau de la preuve, il incombe au contribuable de démontrer les faits qui sont de nature à lui procurer un avantage et au fisc de prouver ceux qui imposent à celui-ci une obligation (ATF 105 Ib 305 consid. 3b). La maxime d’office, applicable notamment en droit fiscal, impose certes aux autorités de taxation l’obligation d’établir les faits nécessaires à une taxation complète et exacte (Gygi, Bundesverwaltungsrechtspflege, 2. Aufl. 1983, p. 207). Tout en allégeant la tâche du contribuable, elle n’en laisse pas moins cependant subsister à sa charge le fardeau de la preuve lorsque celle-ci lui incombe selon les principes précités (RVJ 2003 p. 89 consid. 4a ; Gygi, op. cit., p. 208 ss). Plus particulièrement dans le domaine de la taxation de l'impôt sur les gains immobiliers, l’art. 145 LF prescrit que le contribuable doit donner toutes les indications nécessaires à la taxation et au calcul de l'impôt (al. 2) et qu’il doit annoncer à l'autorité de taxation, par écrit et dans les 30 jours, toute aliénation susceptible d'être imposée qui n'est pas suivie d'inscription au registre foncier (al. 3). Les principes permettant de déterminer le calcul de l’impôt sont ancrés à l’art. 52 LF. Son alinéa 1er let. a dispose que l'impôt simple sur les gains immobiliers est perçu par tranches, selon le barème suivant : 12% pour des gains jusqu'à 50’000 fr., 18% pour des gains de 50’001 fr. à 100’000 fr., puis 24% pour les gains supérieurs à 100'001 francs. Son alinéa 2 prévoit quant à lui qu’en cas d’aliénation dans les 5 ans, les taux d’impôts en pour cent sont les suivants : Bénéfice imposable 1ère année 2e 3e 4e 5e 0 à 50'000 fr. 19,2 18 15,6 14,4 13,2 50’001 à 100'000 fr. 28,8 27 23,4 21,6 19,8 100’001 fr. et plus 38,4 36 31,2 28,8 26,4</w:t>
      </w:r>
    </w:p>
    <w:p>
      <w:r>
        <w:rPr>
          <w:b/>
        </w:rPr>
        <w:t>E. 7.2.1</w:t>
      </w:r>
    </w:p>
    <w:p>
      <w:r>
        <w:t>En l’espèce, l’action en responsabilité de la demanderesse était entièrement soumise à la maxime des débats, de sorte qu’il lui appartenait notamment d’alléguer et de prouver l’ampleur du dommage patrimonial qu’elle a subi en raison de son inscription, retardée, au registre foncier en qualité de propriétaire, et du taux d’imposition plus élevé auquel elle a été soumise. Partant du principe, sur la base du bordereau de taxation adressé le 28 avril 2009 par le SCC que le gain imposable se montait à 1'117'000 fr. et que l’impôt effectivement dû après une seule année de propriété sur les immeubles nos xxx2 et xxx4 s’élevait à 414'528 fr. (9600 fr. pour la première tranche [50'000 fr. x 19,20%] + 14'400 fr. pour la deuxième [50'000 fr. x</w:t>
      </w:r>
    </w:p>
    <w:p>
      <w:r>
        <w:t>- 40 - 28,80%] + 390'528 fr. pour la troisième [1'017'000 fr. x 38,40%]), la demanderesse a allégué dans son mémoire-demande qu’elle n’aurait dû verser au total que 310'896 fr. (7200 fr. pour la première tranche [50'000 fr. x 14,4%] + 10'800 fr. pour la deuxième [50'000 fr. x 21,6%] + 292'896 fr. pour la troisième [1'017'000 fr. x 28,8%]) « si l’acte avait été présenté à temps » en 2005, en d’autres termes si les taux prévalant pour 4 années de propriété avaient été appliqués (cf. all. 27 ss [ignorés] et 44 ss [contestés]). Pour faire foi de ces allégations, elle a proposé comme moyens de preuve les titres déposés, notamment la pièce 9bis (p. 25 s.), correspondant au bordereau de taxation détaillé avec indication des taux pour les différentes tranches, lequel avait été communiqué en son temps par son ancien conseil (Me CC_________) à l’appelant et défendeur, qui n’a pas réagi (cf. supra, consid. 2.4.3 in fine) mais était ainsi en possession des éléments pertinents pour la connaissance du dommage dont la responsabilité lui était imputée. La demanderesse n’a certes pas reproduit dans ses écritures en première instance (mémoire-demande et réplique) le détail des impenses (33'000 fr. de forfait pour les frais d’acte [2% du prix de vente, du reste quasi-similaires aux frais effectifs ; cf. supra, consid. 2.4.3] + 150'000 fr. [commissions de vente] + 0 fr. pour les améliorations et constructions, lesquelles n’ont précisément pas pu être mises en œuvre en raison de la non-obtention de l’autorisation de construire) telles que figurant dans la déclaration d’impôt sur les gains immobiliers complétée le 17 avril 2009 par la notaire chargée d’instrumenter l’acte de vente du chalet (cf. supra, consid. 2.4.3). Comme la décision de taxation fiscale – qui, seule, a concrétisé la survenance du dommage (cf. arrêt 4A_38/2014 précité consid. 5.2) –, a entièrement repris à son compte, sans correction aucune, les indications nécessaires fournies par la représentante de l’appelée et demanderesse (cf. art. 145 LF) qui s’était préalablement enquise auprès des intervenants des montants payés pouvant correspondre à des impenses au regard de l’art. 51 LF (cf. supra, consid. 2.4.2 et 7.1.4), l’on peut toutefois partir du principe qu’il s’agit-là de faits patents et implicitement admis. Du reste, l’appelant et défendeur, qui s’est déterminé par « ignoré » (cf. all. 27 ss), respectivement « contesté » (cf. all. 44 ss), en relation avec les assertions qui précèdent, ne saurait de bonne foi se plaindre pour la première fois en appel d’une violation de la maxime d’allégation dans la mesure où, d’une part, il a comme on l’a vu eu connaissance de la décision de taxation fiscale détaillée avant même que le procès ne débute, et dans la mesure où, d’autre part, il était mieux à même de connaître certaines desdites impenses, notamment ses frais (effectifs) de notaire, pour lesquels la note correspondante n’a été établie que le 8 mars 2012, soit alors que l’administration des preuves touchait quasiment à son terme.</w:t>
      </w:r>
    </w:p>
    <w:p>
      <w:r>
        <w:t>- 41 - Partant, le moyen pris de l’absence d’allégation suffisamment motivée doit être écarté.</w:t>
      </w:r>
    </w:p>
    <w:p>
      <w:r>
        <w:rPr>
          <w:b/>
        </w:rPr>
        <w:t>E. 7.2.2</w:t>
      </w:r>
    </w:p>
    <w:p>
      <w:r>
        <w:t>Il est exact que la demanderesse avait sollicité dans l’optique d’établir les allégations qui précèdent (cf. all. 27 ss et 44 ss), outre le dépôt de titres, la mise en œuvre d’une expertise. Le premier juge a, aux termes de l’appréciation anticipée sommaire quant à la pertinence d’un moyen de preuve à laquelle se livre un magistrat à l’issue du débat préliminaire (cf. art. 144 al. 2 CPC/VS : « Il dresse la liste des preuves offertes à propos des faits contestés »), initialement donné suite utile à cette offre de preuve, notamment en l’absence de contestation relative à son admissibilité par l’adverse partie ; l’administration de l’expertise n’est finalement pas intervenue du fait que la demanderesse a omis de déposer le questionnaire destiné à l’expert dans le second délai comminatoire fixé par le juge (cf. supra, consid. B et 1.3.2). Quoi qu’en dise l’appelant et défendeur, il n’est pas possible de déduire pour autant de ces péripéties procédurales que seule une expertise était de nature à permettre la détermination du dommage, et que la juridiction inférieure s’est indûment substituée à l’expert en définitive jamais nommé. Au contraire, et après un examen plus approfondi de la situation en fait et en droit, il a pu lui apparaître que, vu la précision des critères posés par la loi fiscale (cf. principe de la légalité [art. 127 al. 1 Cst.], en vertu duquel les principes généraux régissant le régime fiscal, notamment la qualité de contribuable, l'objet de l'impôt et son mode de calcul, doivent être définis par la loi au sens formel ; arrêt 2C_939/2011 du 7 août 2012 consid. 4), le recours à un expert, soit une personne disposant de connaissances particulières, n’était nullement indispensable. Il s’agissait en effet, après avoir arrêté le gain imposable (in casu de 1'117'000 fr.) – correspondant à la différence entre le prix de vente (2'950'000 fr.) sous déduction des impenses (183'000 fr.) et le prix d’achat (1'650'000 fr.), soit des éléments relevant de l’appréciation par le magistrat des faits s’ils sont contestés –, de se livrer à un simple calcul sur la base de la tabelle contenue à l’art. 52 al. 1 let. a LF. Aussi est-ce à juste titre que l’autorité de première instance a retenu au final que le dommage dont avait à répondre l’appelant et défendeur se monte (en capital) à 103'632 fr. (414'528 fr. [montant dû selon la décision de taxation du 28 avril 2009, et effectivement acquitté] – 310'896 fr. [montant qui aurait été dû après 4 années de propriété ; pour le calcul détaillé, cf. supra, consid. 7.2.1]).</w:t>
      </w:r>
    </w:p>
    <w:p>
      <w:r>
        <w:rPr>
          <w:b/>
        </w:rPr>
        <w:t>E. 8</w:t>
      </w:r>
    </w:p>
    <w:p>
      <w:r>
        <w:t>Il résulte de ce qui précède que toutes les conditions permettant de retenir la responsabilité du notaire ont été établies à satisfaction de droit par l’appelée et demanderesse. Mal fondé, l’appel doit par conséquent être rejeté, et le jugement de première instance confirmé, en tant qu’il astreint l’appelant et défendeur à verser à</w:t>
      </w:r>
    </w:p>
    <w:p>
      <w:r>
        <w:t>- 42 - l’appelée et demanderesse le montant de 103'632 fr. avec intérêts compensatoires à 5% l’an dès le 28 avril 2009 (cf. date d’établissement de la décision de taxation fiscale). Pour les motifs exposés au considérant 10 du jugement entrepris (p. 34 s.), auxquels adhère la Cour de céans, il convient également d’accueillir la conclusion de l’appelée et demanderesse visant à ce que l’opposition formée par l’appelant et demandeur au commandement de payer notifié dans la poursuite no xxx1 de l’Office des poursuites du district de B_________ (cf. supra, consid. 2.4.4) soit levée à due concurrence, et maintenue pour le surplus. Toute autre ou plus ample conclusion est déclarée irrecevable (jugement entrepris, consid. 5.2, p. 19).</w:t>
      </w:r>
    </w:p>
    <w:p>
      <w:r>
        <w:rPr>
          <w:b/>
        </w:rPr>
        <w:t>E. 9</w:t>
      </w:r>
    </w:p>
    <w:p>
      <w:r>
        <w:t>Il reste à statuer sur le sort des frais et dépens.</w:t>
      </w:r>
    </w:p>
    <w:p>
      <w:r>
        <w:rPr>
          <w:b/>
        </w:rPr>
        <w:t>E. 9.1</w:t>
      </w:r>
    </w:p>
    <w:p>
      <w:r>
        <w:t>Vu le sort de l’appel, il n’y a pas lieu de modifier le montant et la répartition des frais et des dépens de première instance (art. 318 al. 3 CPC a contrario), non spécifiquement contestés quant à leur montant. Dans ces circonstances, pour les motifs exposés par la juridiction inférieure (cf. consid. 11.1 et 11.2 du jugement entrepris), les frais de première instance, fixés conformément aux dispositions applicables (art. 13, 16 al. 1 LTar : de 4500 fr. à 15'000 fr. lorsque la valeur litigieuse oscille entre 100'001 fr. et 200'000 fr.) à 9407 fr. (8500 fr. [émolument de justice] + 907 fr. [débours]), sont mis à la charge de l’appelant et défendeur, qui succombe, et versera à l’appelée et demanderesse 6507 fr. à titre de remboursement d’avances (9407 fr. – 2900 fr. [propres avances de X_________]) – le solde de 5243 fr. lui étant restitué par le greffe (11'750 fr. [propres avances de dame Y_________, sans les sûretés pour les dépens] – 6507 fr.) – et 14'500 fr. à titre de dépens (cf. art. 26 al. 1, 27 et 32 LTar [de 11'100 fr. à 15'400 fr.]).</w:t>
      </w:r>
    </w:p>
    <w:p>
      <w:r>
        <w:rPr>
          <w:b/>
        </w:rPr>
        <w:t>E. 9.2</w:t>
      </w:r>
    </w:p>
    <w:p>
      <w:r>
        <w:t>Compte tenu de la valeur litigieuse, du degré de difficulté sortant quelque peu de l’ordinaire de la cause, ainsi que des principes de la couverture des frais et de l’équivalence des prestations (art. 13 LTar), les frais judiciaires en instance d’appel, qui se limitent à l’émolument forfaitaire de décision (art. 95 al. 2 let. b CPC), arrêtés à 2500 fr. (art. 16 et 19 LTar), sont mis à la charge de l’appelant, qui succombe (art. 106 al. 1 CPC), supporte ses propres frais d’intervention en justice et versera à l’appelée – sur le vu notamment de l’activité utilement déployée par son conseil en instance d’appel, qui a consisté en la rédaction et l’envoi d’une réponse motivée en faits et en droit de 6 pages, de plusieurs courriers et des autres critères susexposés – de 6000 francs. Par ces motifs,</w:t>
      </w:r>
    </w:p>
    <w:p>
      <w:r>
        <w:t>- 43 -</w:t>
      </w:r>
    </w:p>
    <w:p>
      <w:r>
        <w:t>Prononce</w:t>
      </w:r>
    </w:p>
    <w:p>
      <w:r>
        <w:t>L’appel est rejeté ; en conséquence, il est statué : 1. X_________ versera à Y_________ le montant de 103'632 fr., avec intérêts compensatoires à 5% l’an dès le 28 avril 2009. 2. L’opposition formée au commandement de payer notifié le 19 avril 2010 dans la poursuite no xxx1 de l’Office des poursuites du district de B_________ est définitivement levée à concurrence du montant indiqué sous ch. 1 du présent dispositif. 3. Toute autre ou plus ample conclusion est déclarée irrecevable. 4. Les frais de première instance, par 9407 fr., sont mis à la charge de X_________, qui versera à Y_________ le montant de 6507 fr. à titre de remboursement d’avance ainsi qu’une indemnité de 14'500 fr. à titre de dépens. 5. Les frais d’appel, par 2500 fr., sont mis à la charge de X_________, qui supporte ses frais d’intervention en justice et versera à Y_________ une indemnité de 6000 fr. à titre de dépens. Ainsi jugé à Sion, le 15 avril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